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bl. neutre</w:t>
      </w:r>
    </w:p>
    <w:p/>
    <w:p>
      <w:pPr/>
      <w:r>
        <w:rPr/>
        <w:t xml:space="preserve">Dimensions (Ø x H): 350 x 83 mm; With lamp: Oui, système d'éclairage LED STEINEL; With motion detector: Oui; Manufacturer's Warranty: 5 ans; Settings via: Bluetooth; With remote control: Non; Version: PMMA bl. neutre; PU1, EAN: 4007841068042; Application, place: Intérieur; Application, room: vestiaires, kitchenette, Intérieur, extérieur, WC / salle d'eau, cage d'escalier, espace fonctionnel / local annexe, couloir / allée; Colour: argenté; includes sheet of self-adhesive numbers: Non; Installation site: mur, plafond; Installation: Mur, Plafond, En saillie; Impact resistance: IK07; IP-rating: IP20; Protection class: II; Ambient temperature: de -20 jusqu'à 40 °C; Housing material: Aluminium; Cover material: Matière plastique opale; Mains power supply: 220 – 240 V / 50 – 60 Hz; Power consumption: 0,39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2747 lm; Total product efficiency: 106 lm/W; Colour temperature: 4000 K; Colour variation LED: SDCM3; Lamp: LED non interchangeable; Base: autre; LED cooling system: Contrôle thermique passif; Soft light start: Oui; Continuous light: commutable, 4 h; Functions: Fonction de groupe voisin, Fonction présence, Paramétrage de groupe, Manuel ON / ON-OFF, Connexion aux systèmes de batterie centrale, Détecteur de mouvement, Fonction DIM, Temps de fondu réglable à l'allumage et à l'extinction, Libre choix de la valeur d'éclairage dans un groupe de luminaires, Mode normal / mode test, Lumière d'orientation, Logique du détecteur de présence, Communication cryptée, Maintien d'un éclairage constant ON-OFF, Commande maître/esclave, Suivi des données; Twilight setting: 2 – 2000 lx; Time setting: 5 s – 30 min; Basic light level function: Oui; Basic light level function, detail: Rétroéclairage à LED; Basic light level function time: 10-30 min, toute la journée, toute la nuit; Main light adjustable: 5 - 100 %; Twilight setting TEACH: Oui; Interconnection: Oui; Type of interconnection: Maître/maître; Interconnection via: Bluetooth Mesh; Lifetime LED according to IEC-62717 (L70): 100.000 h; Lifetime LED according to IEC-62717 (L80): 74.000 h; Durée de vie des LED selon IES TM-21 (L70): &gt;60.000 h; Lifetime LED according to IES TM-21 (L80): &gt;60.000 h; Fuse protection B10: 36; Fuse protection B16: 58; Fuse protection C10: 61; Fuse protection C16: 97; Basic light level function in per cent: 10 – 50 %; Output: 25,8 W; Starting current, maximum: 16,5 A; Angle of aperture: 160 °;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068042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S30 SC PMMA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2025-04-24T01:01:47+02:00</dcterms:created>
  <dcterms:modified xsi:type="dcterms:W3CDTF">2025-04-24T01:01:47+02:00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